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SkillHi — Prototype notes</w:t>
      </w:r>
    </w:p>
    <w:p>
      <w:r>
        <w:t>For review · not part of the product</w:t>
      </w:r>
    </w:p>
    <w:p>
      <w:pPr>
        <w:pStyle w:val="Heading1"/>
      </w:pPr>
      <w:r>
        <w:t>Category engine and current scope</w:t>
      </w:r>
    </w:p>
    <w:p>
      <w:r>
        <w:t>A complete sample-data flow, with no live third-party calls.</w:t>
      </w:r>
    </w:p>
    <w:p>
      <w:pPr>
        <w:pStyle w:val="Heading2"/>
      </w:pPr>
      <w:r>
        <w:t>Ten category definitions</w:t>
      </w:r>
    </w:p>
    <w:p>
      <w:r>
        <w:t>Ask Anything, Verify Information, Property &amp; Locality Check, Second Opinion / Expert Connect, Business &amp; Due Diligence, Legal, Healthcare, Research, Local Intelligence and Anything India each define their own questions, check plan, sources, sample price, turnaround, disclaimer and report wording in one shared configuration.</w:t>
      </w:r>
    </w:p>
    <w:p>
      <w:pPr>
        <w:pStyle w:val="Heading2"/>
      </w:pPr>
      <w:r>
        <w:t>Six-agent execution</w:t>
      </w:r>
    </w:p>
    <w:p>
      <w:r>
        <w:t>Understand builds a brief from the question, city and clarification answers. Connect filters a sample roster by category, city, verified credentials and absence of conflicts. Check completes the configured sample tasks. Validate computes confidence from sample evidence. Report back assembles source-attributed claims, answers and limitations. Decide provides download, report-copy and session-rating controls. Logs and handoffs are derived from the request, not a fixed property script.</w:t>
      </w:r>
    </w:p>
    <w:p>
      <w:pPr>
        <w:pStyle w:val="Heading2"/>
      </w:pPr>
      <w:r>
        <w:t>Sample confidence rules</w:t>
      </w:r>
    </w:p>
    <w:p>
      <w:r>
        <w:t>Unconfirmed evidence is Information only. Confirmed professional interpretation is Expert opinion. Confirmed claims with two independent sample sources are High confidence; one source is Moderate confidence. These are working prototype rules, not an approved production validation standard.</w:t>
      </w:r>
    </w:p>
    <w:p>
      <w:pPr>
        <w:pStyle w:val="Heading2"/>
      </w:pPr>
      <w:r>
        <w:t>Auth and admin console not built</w:t>
      </w:r>
    </w:p>
    <w:p>
      <w:r>
        <w:t>There is no login, account history, permission system or admin console. Requests and ratings exist only in the current page session and reset on refresh. Download saves a text report; sharing copies report text, not an access-controlled hosted link. No private data should be entered.</w:t>
      </w:r>
    </w:p>
    <w:p>
      <w:pPr>
        <w:pStyle w:val="Heading2"/>
      </w:pPr>
      <w:r>
        <w:t>Sample evidence only</w:t>
      </w:r>
    </w:p>
    <w:p>
      <w:r>
        <w:t>Matching and evidence handling execute locally, but contributors, credentials and findings are illustrative samples. No registry, professional, payment service or external source is contacted. The report is not a live answer to an arbitrary user question.</w:t>
      </w:r>
    </w:p>
    <w:p>
      <w:pPr>
        <w:pStyle w:val="Heading2"/>
      </w:pPr>
      <w:r>
        <w:t>Regulated-category notices</w:t>
      </w:r>
    </w:p>
    <w:p>
      <w:r>
        <w:t>Healthcare: SkillHi doesn't diagnose or prescribe; it helps identify qualified professionals and facilitate an independent perspective. Legal: SkillHi does not replace advice from a qualified lawyer. These notices appear in the relevant request and report.</w:t>
      </w:r>
    </w:p>
    <w:p>
      <w:pPr>
        <w:pStyle w:val="Heading1"/>
      </w:pPr>
      <w:r>
        <w:t>Product gaps</w:t>
      </w:r>
    </w:p>
    <w:p>
      <w:r>
        <w:t>Areas the BRD does not yet define that full development will need.</w:t>
      </w:r>
    </w:p>
    <w:p>
      <w:pPr>
        <w:pStyle w:val="Heading2"/>
      </w:pPr>
      <w:r>
        <w:t>Contributor onboarding and vetting</w:t>
      </w:r>
    </w:p>
    <w:p>
      <w:r>
        <w:t>How contributors apply, how credentials (RERA registration, medical or bar council registration, ID) are verified, how often re-verification happens, and who signs off.</w:t>
      </w:r>
    </w:p>
    <w:p>
      <w:pPr>
        <w:pStyle w:val="Heading2"/>
      </w:pPr>
      <w:r>
        <w:t>Matching logic</w:t>
      </w:r>
    </w:p>
    <w:p>
      <w:r>
        <w:t>The prototype filters sample profiles by category, city, credentials and conflicts. Production still needs real availability, rating, re-verification and escalation rules.</w:t>
      </w:r>
    </w:p>
    <w:p>
      <w:pPr>
        <w:pStyle w:val="Heading2"/>
      </w:pPr>
      <w:r>
        <w:t>Quote engine</w:t>
      </w:r>
    </w:p>
    <w:p>
      <w:r>
        <w:t>Each category config supplies a sample tier, price and turnaround. Production rules for request complexity and exact prices within the BRD ranges still need agreement.</w:t>
      </w:r>
    </w:p>
    <w:p>
      <w:pPr>
        <w:pStyle w:val="Heading2"/>
      </w:pPr>
      <w:r>
        <w:t>Validation standard</w:t>
      </w:r>
    </w:p>
    <w:p>
      <w:r>
        <w:t>What counts as an independent source, how many are needed for each confidence level, and who acts as reviewer.</w:t>
      </w:r>
    </w:p>
    <w:p>
      <w:pPr>
        <w:pStyle w:val="Heading2"/>
      </w:pPr>
      <w:r>
        <w:t>Confidence label definitions</w:t>
      </w:r>
    </w:p>
    <w:p>
      <w:r>
        <w:t>Written criteria for High confidence, Moderate confidence, Expert opinion and Information only, so labels are applied consistently.</w:t>
      </w:r>
    </w:p>
    <w:p>
      <w:pPr>
        <w:pStyle w:val="Heading2"/>
      </w:pPr>
      <w:r>
        <w:t>Disputes, refunds and re-work</w:t>
      </w:r>
    </w:p>
    <w:p>
      <w:r>
        <w:t>What happens when a user disagrees with a report, a contributor misses the deadline, or a check cannot be completed.</w:t>
      </w:r>
    </w:p>
    <w:p>
      <w:pPr>
        <w:pStyle w:val="Heading2"/>
      </w:pPr>
      <w:r>
        <w:t>User accounts and report history</w:t>
      </w:r>
    </w:p>
    <w:p>
      <w:r>
        <w:t>Sign-in, saved reports, sharing permissions and expiry of shared links.</w:t>
      </w:r>
    </w:p>
    <w:p>
      <w:pPr>
        <w:pStyle w:val="Heading2"/>
      </w:pPr>
      <w:r>
        <w:t>Contributor app</w:t>
      </w:r>
    </w:p>
    <w:p>
      <w:r>
        <w:t>The contributor side (accepting briefs, uploading photos and location, submitting notes) is only shown from the user's view.</w:t>
      </w:r>
    </w:p>
    <w:p>
      <w:pPr>
        <w:pStyle w:val="Heading2"/>
      </w:pPr>
      <w:r>
        <w:t>Languages and accessibility</w:t>
      </w:r>
    </w:p>
    <w:p>
      <w:r>
        <w:t>Support for regional languages and real voice input. Voice is simulated in the prototype.</w:t>
      </w:r>
    </w:p>
    <w:p>
      <w:pPr>
        <w:pStyle w:val="Heading1"/>
      </w:pPr>
      <w:r>
        <w:t>Constraints</w:t>
      </w:r>
    </w:p>
    <w:p>
      <w:pPr>
        <w:pStyle w:val="Heading2"/>
      </w:pPr>
      <w:r>
        <w:t>Network coverage</w:t>
      </w:r>
    </w:p>
    <w:p>
      <w:r>
        <w:t>Service quality depends on having vetted contributors in each city. Launch should be limited to cities with real coverage (BRD names Bangalore, Mumbai, Coimbatore, Hyderabad and Mysore). No network-size claims should be made until the network exists.</w:t>
      </w:r>
    </w:p>
    <w:p>
      <w:pPr>
        <w:pStyle w:val="Heading2"/>
      </w:pPr>
      <w:r>
        <w:t>Turnaround</w:t>
      </w:r>
    </w:p>
    <w:p>
      <w:r>
        <w:t>Ground checks depend on contributor availability, travel and weather. Promised turnaround times need buffers.</w:t>
      </w:r>
    </w:p>
    <w:p>
      <w:pPr>
        <w:pStyle w:val="Heading2"/>
      </w:pPr>
      <w:r>
        <w:t>Regulated professions</w:t>
      </w:r>
    </w:p>
    <w:p>
      <w:r>
        <w:t>Medical, legal and financial questions can only be routed to qualified professionals; SkillHi itself cannot diagnose, give legal opinions or give investment advice.</w:t>
      </w:r>
    </w:p>
    <w:p>
      <w:pPr>
        <w:pStyle w:val="Heading2"/>
      </w:pPr>
      <w:r>
        <w:t>Prototype scope</w:t>
      </w:r>
    </w:p>
    <w:p>
      <w:r>
        <w:t>A local category-driven engine is built; auth and the admin console are not yet built. No live accounts, payments, external calls or server storage. All contributors, evidence and prices are samples.</w:t>
      </w:r>
    </w:p>
    <w:p>
      <w:pPr>
        <w:pStyle w:val="Heading1"/>
      </w:pPr>
      <w:r>
        <w:t>Risks</w:t>
      </w:r>
    </w:p>
    <w:p>
      <w:pPr>
        <w:pStyle w:val="Heading2"/>
      </w:pPr>
      <w:r>
        <w:t>Wrong or incomplete information</w:t>
      </w:r>
    </w:p>
    <w:p>
      <w:r>
        <w:t>Users may make high-value decisions (property, surgery, investment) based on a report. Clear limitations and confidence labels reduce but do not remove this risk.</w:t>
      </w:r>
    </w:p>
    <w:p>
      <w:pPr>
        <w:pStyle w:val="Heading2"/>
      </w:pPr>
      <w:r>
        <w:t>Contributor conflicts of interest</w:t>
      </w:r>
    </w:p>
    <w:p>
      <w:r>
        <w:t>A contributor linked to a broker, seller or hospital could bias a report. Declarations and spot audits are needed.</w:t>
      </w:r>
    </w:p>
    <w:p>
      <w:pPr>
        <w:pStyle w:val="Heading2"/>
      </w:pPr>
      <w:r>
        <w:t>Disintermediation</w:t>
      </w:r>
    </w:p>
    <w:p>
      <w:r>
        <w:t>Users and contributors may try to deal directly after a first contact. The prototype hides contact details; policy and terms need to back this up.</w:t>
      </w:r>
    </w:p>
    <w:p>
      <w:pPr>
        <w:pStyle w:val="Heading2"/>
      </w:pPr>
      <w:r>
        <w:t>Contributor safety</w:t>
      </w:r>
    </w:p>
    <w:p>
      <w:r>
        <w:t>Site visits and conversations with locals may put contributors at risk. Guidelines and insurance should be considered.</w:t>
      </w:r>
    </w:p>
    <w:p>
      <w:pPr>
        <w:pStyle w:val="Heading2"/>
      </w:pPr>
      <w:r>
        <w:t>Fraud and fake credentials</w:t>
      </w:r>
    </w:p>
    <w:p>
      <w:r>
        <w:t>Fake contributors or forged registrations would damage trust in the 'verified' label.</w:t>
      </w:r>
    </w:p>
    <w:p>
      <w:pPr>
        <w:pStyle w:val="Heading2"/>
      </w:pPr>
      <w:r>
        <w:t>Brand trust</w:t>
      </w:r>
    </w:p>
    <w:p>
      <w:r>
        <w:t>Over-promising ('verified', 'guaranteed') could harm reputation and create liability.</w:t>
      </w:r>
    </w:p>
    <w:p>
      <w:pPr>
        <w:pStyle w:val="Heading1"/>
      </w:pPr>
      <w:r>
        <w:t>Legal review points</w:t>
      </w:r>
    </w:p>
    <w:p>
      <w:r>
        <w:t>Items for review by Indian legal counsel before launch.</w:t>
      </w:r>
    </w:p>
    <w:p>
      <w:pPr>
        <w:pStyle w:val="Heading2"/>
      </w:pPr>
      <w:r>
        <w:t>Advertising and referral rules for lawyers</w:t>
      </w:r>
    </w:p>
    <w:p>
      <w:r>
        <w:t>Bar Council of India rules restrict advocates from advertising or soliciting work and from paying or receiving referral fees. Review whether listing lawyers, matching users to them or sharing fees is allowed, and how lawyer profiles may be shown.</w:t>
      </w:r>
    </w:p>
    <w:p>
      <w:pPr>
        <w:pStyle w:val="Heading2"/>
      </w:pPr>
      <w:r>
        <w:t>Advertising and referral rules for doctors</w:t>
      </w:r>
    </w:p>
    <w:p>
      <w:r>
        <w:t>National Medical Commission professional conduct regulations restrict doctors' self-promotion and fee-splitting or commissions for referrals. Review how doctors are presented and how any second-opinion fees are structured.</w:t>
      </w:r>
    </w:p>
    <w:p>
      <w:pPr>
        <w:pStyle w:val="Heading2"/>
      </w:pPr>
      <w:r>
        <w:t>Paid matching of contributors</w:t>
      </w:r>
    </w:p>
    <w:p>
      <w:r>
        <w:t>Whether charging users for matching to professionals, or taking a share of contributor fees, creates regulatory issues (fee-sharing, acting as an intermediary or aggregator, RERA rules for property agents, SEBI rules on investment advice, telemedicine guidelines).</w:t>
      </w:r>
    </w:p>
    <w:p>
      <w:pPr>
        <w:pStyle w:val="Heading2"/>
      </w:pPr>
      <w:r>
        <w:t>Disclaimers and liability for 'verified' claims</w:t>
      </w:r>
    </w:p>
    <w:p>
      <w:r>
        <w:t>What 'verified', 'cross-checked' and each confidence label legally imply; limitation of liability; consumer protection law (Consumer Protection Act, 2019, and e-commerce rules) on unfair trade practices and misleading claims; terms of service for users and contributors.</w:t>
      </w:r>
    </w:p>
    <w:p>
      <w:pPr>
        <w:pStyle w:val="Heading2"/>
      </w:pPr>
      <w:r>
        <w:t>Contributor status</w:t>
      </w:r>
    </w:p>
    <w:p>
      <w:r>
        <w:t>Whether paid contributors are independent contractors; tax deduction (TDS) and GST treatment; written agreements covering confidentiality and conflicts.</w:t>
      </w:r>
    </w:p>
    <w:p>
      <w:pPr>
        <w:pStyle w:val="Heading2"/>
      </w:pPr>
      <w:r>
        <w:t>Trademark check</w:t>
      </w:r>
    </w:p>
    <w:p>
      <w:r>
        <w:t>Search and clearance for 'SkillHi' and its sub-brands (SkillHi Quick, SkillHi Insight, SkillHi DeepCheck, SkillHi Network, SkillHi Contributors) and the tagline 'Don't just believe it. SkillHi it.' in relevant classes, followed by filing.</w:t>
      </w:r>
    </w:p>
    <w:p>
      <w:pPr>
        <w:pStyle w:val="Heading1"/>
      </w:pPr>
      <w:r>
        <w:t>Data privacy and protection</w:t>
      </w:r>
    </w:p>
    <w:p>
      <w:r>
        <w:t>Based on India's Digital Personal Data Protection Act, 2023 (DPDP Act) and its rules. To be confirmed by counsel.</w:t>
      </w:r>
    </w:p>
    <w:p>
      <w:pPr>
        <w:pStyle w:val="Heading2"/>
      </w:pPr>
      <w:r>
        <w:t>Consent for user data</w:t>
      </w:r>
    </w:p>
    <w:p>
      <w:r>
        <w:t>Users must give free, specific, informed consent through a clear notice stating what data is collected (questions, location, documents, health or financial details) and why. Consent must be as easy to withdraw as to give.</w:t>
      </w:r>
    </w:p>
    <w:p>
      <w:pPr>
        <w:pStyle w:val="Heading2"/>
      </w:pPr>
      <w:r>
        <w:t>Requests made for someone else</w:t>
      </w:r>
    </w:p>
    <w:p>
      <w:r>
        <w:t>When a user asks 'for someone else' (for example, a parent's surgery), the other person's data is involved. Decide how their consent is obtained or recorded, especially for health data.</w:t>
      </w:r>
    </w:p>
    <w:p>
      <w:pPr>
        <w:pStyle w:val="Heading2"/>
      </w:pPr>
      <w:r>
        <w:t>Contributor data</w:t>
      </w:r>
    </w:p>
    <w:p>
      <w:r>
        <w:t>Contributors' ID, credentials, location during site visits and payment details are personal data. They need their own notice, consent and access rights.</w:t>
      </w:r>
    </w:p>
    <w:p>
      <w:pPr>
        <w:pStyle w:val="Heading2"/>
      </w:pPr>
      <w:r>
        <w:t>Contributor–user data sharing</w:t>
      </w:r>
    </w:p>
    <w:p>
      <w:r>
        <w:t>Share only what is needed for the task. Users see a contributor's role, city and verified credentials, not contact details. Contributors see the brief, not the user's identity or contact details, unless needed and consented to.</w:t>
      </w:r>
    </w:p>
    <w:p>
      <w:pPr>
        <w:pStyle w:val="Heading2"/>
      </w:pPr>
      <w:r>
        <w:t>Third parties in the field</w:t>
      </w:r>
    </w:p>
    <w:p>
      <w:r>
        <w:t>Photos and conversations may capture neighbours, residents or staff. Guidelines are needed on avoiding faces, names and private property in uploads.</w:t>
      </w:r>
    </w:p>
    <w:p>
      <w:pPr>
        <w:pStyle w:val="Heading2"/>
      </w:pPr>
      <w:r>
        <w:t>Retention</w:t>
      </w:r>
    </w:p>
    <w:p>
      <w:r>
        <w:t>Set retention periods for questions, reports, photos and location data, and delete data once the purpose is served or consent is withdrawn, unless the law requires keeping it.</w:t>
      </w:r>
    </w:p>
    <w:p>
      <w:pPr>
        <w:pStyle w:val="Heading2"/>
      </w:pPr>
      <w:r>
        <w:t>Cross-border data for NRI users</w:t>
      </w:r>
    </w:p>
    <w:p>
      <w:r>
        <w:t>NRI users access the service from abroad, and data may be stored or processed outside India. The DPDP Act allows transfers except to countries the government restricts; check the current list and any sector rules. Users abroad may also be covered by their own country's laws (for example GDPR in Europe and the UK).</w:t>
      </w:r>
    </w:p>
    <w:p>
      <w:pPr>
        <w:pStyle w:val="Heading2"/>
      </w:pPr>
      <w:r>
        <w:t>Security and breach notice</w:t>
      </w:r>
    </w:p>
    <w:p>
      <w:r>
        <w:t>Reasonable security safeguards, access controls for reviewers, and a process to notify the Data Protection Board and affected people of a breach.</w:t>
      </w:r>
    </w:p>
    <w:p>
      <w:pPr>
        <w:pStyle w:val="Heading2"/>
      </w:pPr>
      <w:r>
        <w:t>Grievance contact</w:t>
      </w:r>
    </w:p>
    <w:p>
      <w:r>
        <w:t>Publish a contact for data questions and complaints, and handle data access, correction and erasure requests.</w:t>
      </w:r>
    </w:p>
    <w:p>
      <w:pPr>
        <w:pStyle w:val="Heading1"/>
      </w:pPr>
      <w:r>
        <w:t>Open decisions</w:t>
      </w:r>
    </w:p>
    <w:p>
      <w:r>
        <w:t>Left undecided in the BRD. Shown here rather than as pending items in the prototype.</w:t>
      </w:r>
    </w:p>
    <w:p>
      <w:pPr>
        <w:pStyle w:val="Heading2"/>
      </w:pPr>
      <w:r>
        <w:t>NRI currency</w:t>
      </w:r>
    </w:p>
    <w:p>
      <w:r>
        <w:t>Whether NRI users see and pay in INR only, or in local currency (USD, GBP, SGD, AED, AUD, CAD, EUR).</w:t>
      </w:r>
    </w:p>
    <w:p>
      <w:pPr>
        <w:pStyle w:val="Heading2"/>
      </w:pPr>
      <w:r>
        <w:t>Payment provider</w:t>
      </w:r>
    </w:p>
    <w:p>
      <w:r>
        <w:t>Not chosen. The prototype shows a simulated checkout only.</w:t>
      </w:r>
    </w:p>
    <w:p>
      <w:pPr>
        <w:pStyle w:val="Heading2"/>
      </w:pPr>
      <w:r>
        <w:t>Contributor pay model</w:t>
      </w:r>
    </w:p>
    <w:p>
      <w:r>
        <w:t>Voluntary, fixed fee per task, share of the request price, or a mix by tier. BRD notes some contributors may help voluntarily and others are paid for substantial work.</w:t>
      </w:r>
    </w:p>
    <w:p>
      <w:pPr>
        <w:pStyle w:val="Heading2"/>
      </w:pPr>
      <w:r>
        <w:t>Exact pricing inside each tier</w:t>
      </w:r>
    </w:p>
    <w:p>
      <w:r>
        <w:t>BRD gives ranges only (Quick ₹499–₹1,999, Insight ₹2,000–₹10,000, DeepCheck ₹10,000–₹50,000+).</w:t>
      </w:r>
    </w:p>
    <w:p>
      <w:pPr>
        <w:pStyle w:val="Heading2"/>
      </w:pPr>
      <w:r>
        <w:t>Public name for contributors</w:t>
      </w:r>
    </w:p>
    <w:p>
      <w:r>
        <w:t>BRD suggests SkillHi Contributors, SkillHi Network Members or SkillHi Local Experts. The prototype uses 'contributor'.</w:t>
      </w:r>
    </w:p>
    <w:p>
      <w:pPr>
        <w:pStyle w:val="Heading2"/>
      </w:pPr>
      <w:r>
        <w:t>Launch cities</w:t>
      </w:r>
    </w:p>
    <w:p>
      <w:r>
        <w:t>Which of the BRD cities launch first.</w:t>
      </w:r>
    </w:p>
    <w:p>
      <w:pPr>
        <w:pStyle w:val="Heading2"/>
      </w:pPr>
      <w:r>
        <w:t>Corporate offering</w:t>
      </w:r>
    </w:p>
    <w:p>
      <w:r>
        <w:t>Whether corporate assignments use the same flow or a separate sales-led process.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